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widowControl w:val="0"/>
        <w:bidi w:val="0"/>
        <w:ind w:left="432" w:right="0" w:hanging="432"/>
        <w:jc w:val="left"/>
        <w:rPr>
          <w:rFonts w:ascii="Times New Roman" w:hAnsi="Times New Roman"/>
          <w:sz w:val="20"/>
          <w:szCs w:val="20"/>
          <w:u w:color="000000"/>
          <w:rtl w:val="0"/>
          <w:lang w:val="zh-TW" w:eastAsia="zh-TW"/>
        </w:rPr>
      </w:pPr>
    </w:p>
    <w:p>
      <w:pPr>
        <w:pStyle w:val="Default"/>
        <w:widowControl w:val="0"/>
        <w:bidi w:val="0"/>
        <w:ind w:left="216" w:right="0" w:hanging="216"/>
        <w:jc w:val="left"/>
        <w:rPr>
          <w:rFonts w:ascii="Times New Roman" w:hAnsi="Times New Roman"/>
          <w:sz w:val="24"/>
          <w:szCs w:val="24"/>
          <w:u w:color="000000"/>
          <w:rtl w:val="0"/>
          <w:lang w:val="zh-TW" w:eastAsia="zh-TW"/>
        </w:rPr>
      </w:pPr>
    </w:p>
    <w:tbl>
      <w:tblPr>
        <w:tblW w:w="9170" w:type="dxa"/>
        <w:jc w:val="left"/>
        <w:tblInd w:w="3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53"/>
        <w:gridCol w:w="6117"/>
      </w:tblGrid>
      <w:tr>
        <w:tblPrEx>
          <w:shd w:val="clear" w:color="auto" w:fill="cadfff"/>
        </w:tblPrEx>
        <w:trPr>
          <w:trHeight w:val="907" w:hRule="atLeast"/>
        </w:trPr>
        <w:tc>
          <w:tcPr>
            <w:tcW w:type="dxa" w:w="917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200" w:line="276" w:lineRule="auto"/>
              <w:ind w:left="0" w:right="0" w:firstLine="0"/>
              <w:jc w:val="center"/>
              <w:outlineLvl w:val="9"/>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vertAlign w:val="baseline"/>
                <w:rtl w:val="0"/>
                <w:lang w:val="en-US"/>
              </w:rPr>
            </w:pPr>
          </w:p>
          <w:p>
            <w:pPr>
              <w:keepNext w:val="0"/>
              <w:keepLines w:val="0"/>
              <w:pageBreakBefore w:val="0"/>
              <w:widowControl w:val="1"/>
              <w:shd w:val="clear" w:color="auto" w:fill="auto"/>
              <w:suppressAutoHyphens w:val="0"/>
              <w:bidi w:val="0"/>
              <w:spacing w:before="0" w:after="200" w:line="276" w:lineRule="auto"/>
              <w:ind w:left="0" w:right="0" w:firstLine="0"/>
              <w:jc w:val="center"/>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ITHI</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2019</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zh-TW" w:eastAsia="zh-TW"/>
              </w:rPr>
              <w:t>Forum</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en-US"/>
              </w:rPr>
              <w:t xml:space="preserve"> </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zh-TW" w:eastAsia="zh-TW"/>
              </w:rPr>
              <w:t>Participant</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en-US"/>
              </w:rPr>
              <w:t xml:space="preserve"> Information</w:t>
            </w:r>
            <w: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vertAlign w:val="baseline"/>
                <w:rtl w:val="0"/>
                <w:lang w:val="zh-TW" w:eastAsia="zh-TW"/>
              </w:rPr>
              <w:t xml:space="preserve"> Sheet</w:t>
            </w:r>
          </w:p>
        </w:tc>
      </w:tr>
      <w:tr>
        <w:tblPrEx>
          <w:shd w:val="clear" w:color="auto" w:fill="cadfff"/>
        </w:tblPrEx>
        <w:trPr>
          <w:trHeight w:val="603"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both"/>
              <w:rPr>
                <w:rtl w:val="0"/>
              </w:rPr>
            </w:pPr>
            <w:r>
              <w:rPr>
                <w:rFonts w:ascii="Times New Roman" w:hAnsi="Times New Roman"/>
                <w:b w:val="1"/>
                <w:bCs w:val="1"/>
                <w:u w:color="000000"/>
                <w:rtl w:val="0"/>
                <w:lang w:val="en-US"/>
              </w:rPr>
              <w:t>Name</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Please write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the first and then the last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p>
        </w:tc>
      </w:tr>
      <w:tr>
        <w:tblPrEx>
          <w:shd w:val="clear" w:color="auto" w:fill="cadfff"/>
        </w:tblPrEx>
        <w:trPr>
          <w:trHeight w:val="654"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Organization/Affiliation</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Please list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your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organization, affiliation, or credentials. </w:t>
            </w:r>
          </w:p>
        </w:tc>
      </w:tr>
      <w:tr>
        <w:tblPrEx>
          <w:shd w:val="clear" w:color="auto" w:fill="cadfff"/>
        </w:tblPrEx>
        <w:trPr>
          <w:trHeight w:val="618"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Email address</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Please list your professional email address.</w:t>
            </w:r>
          </w:p>
        </w:tc>
      </w:tr>
      <w:tr>
        <w:tblPrEx>
          <w:shd w:val="clear" w:color="auto" w:fill="cadfff"/>
        </w:tblPrEx>
        <w:trPr>
          <w:trHeight w:val="876"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zh-TW" w:eastAsia="zh-TW"/>
              </w:rPr>
              <w:t>Username for Skype, WeChat or Whatsapp</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What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 xml:space="preserve">communication tool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should we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 xml:space="preserve">use to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contact you</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 xml:space="preserve"> if email doesn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zh-TW" w:eastAsia="zh-TW"/>
              </w:rPr>
              <w:t>t work</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p>
        </w:tc>
      </w:tr>
      <w:tr>
        <w:tblPrEx>
          <w:shd w:val="clear" w:color="auto" w:fill="cadfff"/>
        </w:tblPrEx>
        <w:trPr>
          <w:trHeight w:val="761"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zh-TW" w:eastAsia="zh-TW"/>
              </w:rPr>
              <w:t>Payment method</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u w:color="000000"/>
                <w:rtl w:val="0"/>
                <w:lang w:val="zh-TW" w:eastAsia="zh-TW"/>
              </w:rPr>
              <w:t>W</w:t>
            </w:r>
            <w:r>
              <w:rPr>
                <w:rFonts w:ascii="Times New Roman" w:hAnsi="Times New Roman"/>
                <w:u w:color="000000"/>
                <w:rtl w:val="0"/>
                <w:lang w:val="en-US"/>
              </w:rPr>
              <w:t xml:space="preserve">rite in which way you will pay, e.g., Paypal, Wiretransfer, etc. </w:t>
            </w:r>
          </w:p>
        </w:tc>
      </w:tr>
      <w:tr>
        <w:tblPrEx>
          <w:shd w:val="clear" w:color="auto" w:fill="cadfff"/>
        </w:tblPrEx>
        <w:trPr>
          <w:trHeight w:val="1111"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Presentation topic</w:t>
            </w:r>
            <w:r>
              <w:rPr>
                <w:rFonts w:ascii="Times New Roman" w:hAnsi="Times New Roman"/>
                <w:b w:val="1"/>
                <w:bCs w:val="1"/>
                <w:u w:color="000000"/>
                <w:rtl w:val="0"/>
                <w:lang w:val="zh-TW" w:eastAsia="zh-TW"/>
              </w:rPr>
              <w:t xml:space="preserve"> and Abstract (&lt;200 words),</w:t>
            </w:r>
            <w:r>
              <w:rPr>
                <w:rFonts w:ascii="Times New Roman" w:hAnsi="Times New Roman"/>
                <w:b w:val="1"/>
                <w:bCs w:val="1"/>
                <w:u w:color="000000"/>
                <w:rtl w:val="0"/>
                <w:lang w:val="en-US"/>
              </w:rPr>
              <w:t xml:space="preserve"> if prepare for </w:t>
            </w:r>
            <w:r>
              <w:rPr>
                <w:rFonts w:ascii="Times New Roman" w:hAnsi="Times New Roman"/>
                <w:b w:val="1"/>
                <w:bCs w:val="1"/>
                <w:u w:color="000000"/>
                <w:rtl w:val="0"/>
                <w:lang w:val="zh-TW" w:eastAsia="zh-TW"/>
              </w:rPr>
              <w:t>one</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Fonts w:ascii="Times New Roman" w:cs="Times New Roman" w:hAnsi="Times New Roman" w:eastAsia="Times New Roman"/>
                <w:u w:color="000000"/>
                <w:rtl w:val="0"/>
              </w:rPr>
            </w:pPr>
            <w:r>
              <w:rPr>
                <w:rFonts w:ascii="Helvetica Neue" w:hAnsi="Helvetica Neue"/>
                <w:u w:color="000000"/>
                <w:rtl w:val="0"/>
                <w:lang w:val="zh-TW" w:eastAsia="zh-TW"/>
              </w:rPr>
              <w:t>T</w:t>
            </w:r>
            <w:r>
              <w:rPr>
                <w:rFonts w:ascii="Times New Roman" w:hAnsi="Times New Roman"/>
                <w:u w:color="000000"/>
                <w:rtl w:val="0"/>
                <w:lang w:val="en-US"/>
              </w:rPr>
              <w:t>itle</w:t>
            </w:r>
            <w:r>
              <w:rPr>
                <w:rFonts w:ascii="Times New Roman" w:hAnsi="Times New Roman"/>
                <w:u w:color="000000"/>
                <w:rtl w:val="0"/>
                <w:lang w:val="zh-TW" w:eastAsia="zh-TW"/>
              </w:rPr>
              <w:t>:</w:t>
            </w:r>
          </w:p>
          <w:p>
            <w:pPr>
              <w:pStyle w:val="Default"/>
              <w:jc w:val="left"/>
            </w:pPr>
            <w:r>
              <w:rPr>
                <w:rFonts w:ascii="Times New Roman" w:hAnsi="Times New Roman"/>
                <w:u w:color="000000"/>
                <w:rtl w:val="0"/>
                <w:lang w:val="zh-TW" w:eastAsia="zh-TW"/>
              </w:rPr>
              <w:t xml:space="preserve">Abstract: </w:t>
            </w:r>
          </w:p>
        </w:tc>
      </w:tr>
      <w:tr>
        <w:tblPrEx>
          <w:shd w:val="clear" w:color="auto" w:fill="cadfff"/>
        </w:tblPrEx>
        <w:trPr>
          <w:trHeight w:val="876"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Wether need an Invitation Letter for Visa to the USA</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u w:color="000000"/>
                <w:rtl w:val="0"/>
                <w:lang w:val="en-US"/>
              </w:rPr>
              <w:t>Write yes or no here</w:t>
            </w:r>
          </w:p>
        </w:tc>
      </w:tr>
      <w:tr>
        <w:tblPrEx>
          <w:shd w:val="clear" w:color="auto" w:fill="cadfff"/>
        </w:tblPrEx>
        <w:trPr>
          <w:trHeight w:val="1127" w:hRule="atLeast"/>
        </w:trPr>
        <w:tc>
          <w:tcPr>
            <w:tcW w:type="dxa" w:w="30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0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b w:val="1"/>
                <w:bCs w:val="1"/>
                <w:u w:color="000000"/>
                <w:rtl w:val="0"/>
                <w:lang w:val="en-US"/>
              </w:rPr>
              <w:t>Dates to stay</w:t>
            </w:r>
          </w:p>
        </w:tc>
        <w:tc>
          <w:tcPr>
            <w:tcW w:type="dxa" w:w="6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u w:color="000000"/>
                <w:rtl w:val="0"/>
                <w:lang w:val="en-US"/>
              </w:rPr>
              <w:t>Write your intended dates to stay in the Silicon Valley, or in the USA for participants from other countries, which will show in your invitation Letter, e.g., June 2-10, June 6-1</w:t>
            </w:r>
            <w:r>
              <w:rPr>
                <w:rFonts w:ascii="Times New Roman" w:hAnsi="Times New Roman"/>
                <w:u w:color="000000"/>
                <w:rtl w:val="0"/>
                <w:lang w:val="en-US"/>
              </w:rPr>
              <w:t>1</w:t>
            </w:r>
            <w:r>
              <w:rPr>
                <w:rFonts w:ascii="Times New Roman" w:hAnsi="Times New Roman"/>
                <w:u w:color="000000"/>
                <w:rtl w:val="0"/>
                <w:lang w:val="en-US"/>
              </w:rPr>
              <w:t xml:space="preserve">, or other options. </w:t>
            </w:r>
          </w:p>
        </w:tc>
      </w:tr>
    </w:tbl>
    <w:p>
      <w:pPr>
        <w:pStyle w:val="Default"/>
        <w:bidi w:val="0"/>
        <w:spacing w:line="360" w:lineRule="auto"/>
        <w:ind w:left="504" w:right="0" w:firstLine="0"/>
        <w:jc w:val="both"/>
        <w:rPr>
          <w:rFonts w:ascii="Times New Roman" w:cs="Times New Roman" w:hAnsi="Times New Roman" w:eastAsia="Times New Roman"/>
          <w:u w:color="000000"/>
          <w:rtl w:val="0"/>
          <w:lang w:val="en-US"/>
        </w:rPr>
      </w:pPr>
    </w:p>
    <w:p>
      <w:pPr>
        <w:pStyle w:val="Default"/>
        <w:bidi w:val="0"/>
        <w:spacing w:line="360" w:lineRule="auto"/>
        <w:ind w:left="504" w:right="0" w:firstLine="0"/>
        <w:jc w:val="both"/>
        <w:rPr>
          <w:rFonts w:ascii="Times New Roman" w:cs="Times New Roman" w:hAnsi="Times New Roman" w:eastAsia="Times New Roman"/>
          <w:u w:color="000000"/>
          <w:rtl w:val="0"/>
          <w:lang w:val="en-US"/>
        </w:rPr>
      </w:pPr>
    </w:p>
    <w:p>
      <w:pPr>
        <w:pStyle w:val="Default"/>
        <w:bidi w:val="0"/>
        <w:spacing w:line="360" w:lineRule="auto"/>
        <w:ind w:left="288" w:right="0" w:firstLine="0"/>
        <w:jc w:val="both"/>
        <w:rPr>
          <w:rFonts w:ascii="Georgia" w:cs="Georgia" w:hAnsi="Georgia" w:eastAsia="Georgia"/>
          <w:u w:color="000000"/>
          <w:rtl w:val="0"/>
          <w:lang w:val="en-US"/>
        </w:rPr>
      </w:pPr>
      <w:r>
        <w:rPr>
          <w:rFonts w:ascii="Georgia" w:hAnsi="Georgia"/>
          <w:b w:val="1"/>
          <w:bCs w:val="1"/>
          <w:u w:color="000000"/>
          <w:rtl w:val="0"/>
          <w:lang w:val="en-US"/>
        </w:rPr>
        <w:t>Who can participate?</w:t>
      </w:r>
    </w:p>
    <w:p>
      <w:pPr>
        <w:pStyle w:val="Default"/>
        <w:bidi w:val="0"/>
        <w:spacing w:line="360" w:lineRule="auto"/>
        <w:ind w:left="288" w:right="0" w:firstLine="0"/>
        <w:jc w:val="both"/>
        <w:rPr>
          <w:rtl w:val="0"/>
        </w:rPr>
      </w:pPr>
      <w:r>
        <w:rPr>
          <w:rFonts w:ascii="Georgia" w:hAnsi="Georgia"/>
          <w:u w:color="000000"/>
          <w:rtl w:val="0"/>
          <w:lang w:val="en-US"/>
        </w:rPr>
        <w:t xml:space="preserve">The Forum is particularly suited for government </w:t>
      </w:r>
      <w:r>
        <w:rPr>
          <w:rFonts w:ascii="Georgia" w:hAnsi="Georgia"/>
          <w:u w:color="000000"/>
          <w:rtl w:val="0"/>
          <w:lang w:val="zh-TW" w:eastAsia="zh-TW"/>
        </w:rPr>
        <w:t xml:space="preserve">officers &amp; </w:t>
      </w:r>
      <w:r>
        <w:rPr>
          <w:rFonts w:ascii="Georgia" w:hAnsi="Georgia"/>
          <w:u w:color="000000"/>
          <w:rtl w:val="0"/>
          <w:lang w:val="en-US"/>
        </w:rPr>
        <w:t xml:space="preserve">policy-makers, higher education </w:t>
      </w:r>
      <w:r>
        <w:rPr>
          <w:rFonts w:ascii="Georgia" w:hAnsi="Georgia"/>
          <w:u w:color="000000"/>
          <w:rtl w:val="0"/>
          <w:lang w:val="zh-TW" w:eastAsia="zh-TW"/>
        </w:rPr>
        <w:t>researchers/</w:t>
      </w:r>
      <w:r>
        <w:rPr>
          <w:rFonts w:ascii="Georgia" w:hAnsi="Georgia"/>
          <w:u w:color="000000"/>
          <w:rtl w:val="0"/>
          <w:lang w:val="en-US"/>
        </w:rPr>
        <w:t>leaders, entrepreneurs and venture capitalists, business angels, technology transfer managers and practitioners, faculty and professional staff, academic evaluation and accreditation managers, postgraduate students, innovation and higher education consultants, etc. Participants will join a vibrant network for dialogue at the nexus of University, Industry and Government, developing bonds across nations and existing boundaries, to create new bridges for collaboration.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